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713B8" w:rsidRPr="001B7067" w:rsidRDefault="001713B8" w:rsidP="001D17DE">
            <w:pPr>
              <w:spacing w:after="0" w:line="240" w:lineRule="auto"/>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извещает о начале обсуждения проекта нормативного правового акта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CE728A" w:rsidRDefault="00CE728A" w:rsidP="00192FB9">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w:t>
            </w:r>
            <w:r w:rsidR="00924777" w:rsidRPr="001713B8">
              <w:rPr>
                <w:rFonts w:ascii="Times New Roman" w:hAnsi="Times New Roman" w:cs="Times New Roman"/>
                <w:i/>
                <w:sz w:val="24"/>
                <w:szCs w:val="24"/>
              </w:rPr>
              <w:t>роект</w:t>
            </w:r>
            <w:r>
              <w:rPr>
                <w:rFonts w:ascii="Times New Roman" w:hAnsi="Times New Roman" w:cs="Times New Roman"/>
                <w:i/>
                <w:sz w:val="24"/>
                <w:szCs w:val="24"/>
              </w:rPr>
              <w:t xml:space="preserve"> </w:t>
            </w:r>
            <w:r w:rsidR="00192FB9" w:rsidRPr="00192FB9">
              <w:rPr>
                <w:rFonts w:ascii="Times New Roman" w:hAnsi="Times New Roman" w:cs="Times New Roman"/>
                <w:i/>
                <w:sz w:val="24"/>
                <w:szCs w:val="24"/>
              </w:rPr>
              <w:t xml:space="preserve">приказа департамента имущественных отношений Краснодарского края </w:t>
            </w:r>
            <w:r w:rsidR="001E758A" w:rsidRPr="001E758A">
              <w:rPr>
                <w:rFonts w:ascii="Times New Roman" w:hAnsi="Times New Roman" w:cs="Times New Roman"/>
                <w:i/>
                <w:sz w:val="24"/>
                <w:szCs w:val="24"/>
              </w:rPr>
              <w:t>«Об установлении начальной цены предмета аукциона на право заключения договоров аренды земельных участков из земель сельскохозяйственного назначения, находящихся в государственной соб</w:t>
            </w:r>
            <w:r w:rsidR="001E758A">
              <w:rPr>
                <w:rFonts w:ascii="Times New Roman" w:hAnsi="Times New Roman" w:cs="Times New Roman"/>
                <w:i/>
                <w:sz w:val="24"/>
                <w:szCs w:val="24"/>
              </w:rPr>
              <w:t>ственности Краснодарского края»</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603EEF" w:rsidP="00192FB9">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BC3028">
              <w:rPr>
                <w:rFonts w:ascii="Times New Roman" w:hAnsi="Times New Roman" w:cs="Times New Roman"/>
                <w:sz w:val="24"/>
                <w:szCs w:val="24"/>
              </w:rPr>
              <w:t>/</w:t>
            </w:r>
            <w:r w:rsidR="001E758A">
              <w:rPr>
                <w:rFonts w:ascii="Times New Roman" w:hAnsi="Times New Roman" w:cs="Times New Roman"/>
                <w:sz w:val="24"/>
                <w:szCs w:val="24"/>
              </w:rPr>
              <w:t>08</w:t>
            </w:r>
            <w:r w:rsidR="00BC3028">
              <w:rPr>
                <w:rFonts w:ascii="Times New Roman" w:hAnsi="Times New Roman" w:cs="Times New Roman"/>
                <w:sz w:val="24"/>
                <w:szCs w:val="24"/>
              </w:rPr>
              <w:t>/201</w:t>
            </w:r>
            <w:r w:rsidR="001D17DE">
              <w:rPr>
                <w:rFonts w:ascii="Times New Roman" w:hAnsi="Times New Roman" w:cs="Times New Roman"/>
                <w:sz w:val="24"/>
                <w:szCs w:val="24"/>
              </w:rPr>
              <w:t>6</w:t>
            </w:r>
            <w:r w:rsidR="00BC3028">
              <w:rPr>
                <w:rFonts w:ascii="Times New Roman" w:hAnsi="Times New Roman" w:cs="Times New Roman"/>
                <w:sz w:val="24"/>
                <w:szCs w:val="24"/>
              </w:rPr>
              <w:t>-</w:t>
            </w:r>
            <w:r>
              <w:rPr>
                <w:rFonts w:ascii="Times New Roman" w:hAnsi="Times New Roman" w:cs="Times New Roman"/>
                <w:sz w:val="24"/>
                <w:szCs w:val="24"/>
              </w:rPr>
              <w:t>18</w:t>
            </w:r>
            <w:r w:rsidR="00BC3028">
              <w:rPr>
                <w:rFonts w:ascii="Times New Roman" w:hAnsi="Times New Roman" w:cs="Times New Roman"/>
                <w:sz w:val="24"/>
                <w:szCs w:val="24"/>
              </w:rPr>
              <w:t>/</w:t>
            </w:r>
            <w:r w:rsidR="001D17DE">
              <w:rPr>
                <w:rFonts w:ascii="Times New Roman" w:hAnsi="Times New Roman" w:cs="Times New Roman"/>
                <w:sz w:val="24"/>
                <w:szCs w:val="24"/>
              </w:rPr>
              <w:t>0</w:t>
            </w:r>
            <w:r w:rsidR="001E758A">
              <w:rPr>
                <w:rFonts w:ascii="Times New Roman" w:hAnsi="Times New Roman" w:cs="Times New Roman"/>
                <w:sz w:val="24"/>
                <w:szCs w:val="24"/>
              </w:rPr>
              <w:t>8</w:t>
            </w:r>
            <w:r w:rsidR="00643F61">
              <w:rPr>
                <w:rFonts w:ascii="Times New Roman" w:hAnsi="Times New Roman" w:cs="Times New Roman"/>
                <w:sz w:val="24"/>
                <w:szCs w:val="24"/>
              </w:rPr>
              <w:t>/201</w:t>
            </w:r>
            <w:r w:rsidR="001D17DE">
              <w:rPr>
                <w:rFonts w:ascii="Times New Roman" w:hAnsi="Times New Roman" w:cs="Times New Roman"/>
                <w:sz w:val="24"/>
                <w:szCs w:val="24"/>
              </w:rPr>
              <w:t>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D664DF" w:rsidRDefault="00425319" w:rsidP="00D664DF">
            <w:pPr>
              <w:spacing w:after="0" w:line="240" w:lineRule="auto"/>
              <w:jc w:val="center"/>
              <w:rPr>
                <w:rFonts w:ascii="Times New Roman" w:hAnsi="Times New Roman" w:cs="Times New Roman"/>
                <w:sz w:val="24"/>
                <w:szCs w:val="24"/>
              </w:rPr>
            </w:pPr>
            <w:hyperlink r:id="rId6" w:history="1">
              <w:r w:rsidR="00D664DF" w:rsidRPr="00D664DF">
                <w:rPr>
                  <w:rStyle w:val="a3"/>
                  <w:rFonts w:ascii="Times New Roman" w:hAnsi="Times New Roman" w:cs="Times New Roman"/>
                  <w:color w:val="000000" w:themeColor="text1"/>
                  <w:sz w:val="24"/>
                  <w:szCs w:val="24"/>
                  <w:u w:val="none"/>
                  <w:lang w:val="en-US"/>
                </w:rPr>
                <w:t>www.diok.ru</w:t>
              </w:r>
            </w:hyperlink>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9A6E81" w:rsidP="00D664D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22</w:t>
            </w:r>
            <w:r w:rsidR="001E758A">
              <w:rPr>
                <w:rFonts w:ascii="Times New Roman" w:hAnsi="Times New Roman" w:cs="Times New Roman"/>
                <w:sz w:val="24"/>
                <w:szCs w:val="24"/>
              </w:rPr>
              <w:t>/08/2016</w:t>
            </w:r>
          </w:p>
        </w:tc>
      </w:tr>
      <w:tr w:rsidR="00924777" w:rsidRPr="00924777" w:rsidTr="009D5B2F">
        <w:tc>
          <w:tcPr>
            <w:tcW w:w="3360" w:type="dxa"/>
            <w:gridSpan w:val="5"/>
            <w:tcBorders>
              <w:top w:val="nil"/>
              <w:left w:val="nil"/>
              <w:bottom w:val="nil"/>
              <w:right w:val="nil"/>
            </w:tcBorders>
          </w:tcPr>
          <w:p w:rsidR="00924777" w:rsidRPr="00924777" w:rsidRDefault="00D664DF" w:rsidP="00D664D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D664DF" w:rsidP="00D664D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CE728A" w:rsidRDefault="001E758A" w:rsidP="00B76329">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w:t>
            </w:r>
            <w:r w:rsidRPr="001713B8">
              <w:rPr>
                <w:rFonts w:ascii="Times New Roman" w:hAnsi="Times New Roman" w:cs="Times New Roman"/>
                <w:i/>
                <w:sz w:val="24"/>
                <w:szCs w:val="24"/>
              </w:rPr>
              <w:t>роект</w:t>
            </w:r>
            <w:r>
              <w:rPr>
                <w:rFonts w:ascii="Times New Roman" w:hAnsi="Times New Roman" w:cs="Times New Roman"/>
                <w:i/>
                <w:sz w:val="24"/>
                <w:szCs w:val="24"/>
              </w:rPr>
              <w:t xml:space="preserve"> </w:t>
            </w:r>
            <w:r w:rsidRPr="00192FB9">
              <w:rPr>
                <w:rFonts w:ascii="Times New Roman" w:hAnsi="Times New Roman" w:cs="Times New Roman"/>
                <w:i/>
                <w:sz w:val="24"/>
                <w:szCs w:val="24"/>
              </w:rPr>
              <w:t xml:space="preserve">приказа департамента имущественных отношений Краснодарского края </w:t>
            </w:r>
            <w:r>
              <w:rPr>
                <w:rFonts w:ascii="Times New Roman" w:hAnsi="Times New Roman" w:cs="Times New Roman"/>
                <w:i/>
                <w:sz w:val="24"/>
                <w:szCs w:val="24"/>
              </w:rPr>
              <w:t xml:space="preserve">                                       </w:t>
            </w:r>
            <w:r w:rsidRPr="001E758A">
              <w:rPr>
                <w:rFonts w:ascii="Times New Roman" w:hAnsi="Times New Roman" w:cs="Times New Roman"/>
                <w:i/>
                <w:sz w:val="24"/>
                <w:szCs w:val="24"/>
              </w:rPr>
              <w:t>«Об установлении начальной цены предмета аукциона на право заключения договоров аренды земельных участков из земель сельскохозяйственного назначения, находящихся в государственной соб</w:t>
            </w:r>
            <w:r>
              <w:rPr>
                <w:rFonts w:ascii="Times New Roman" w:hAnsi="Times New Roman" w:cs="Times New Roman"/>
                <w:i/>
                <w:sz w:val="24"/>
                <w:szCs w:val="24"/>
              </w:rPr>
              <w:t>ственности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8580A" w:rsidRPr="00A8580A">
              <w:tc>
                <w:tcPr>
                  <w:tcW w:w="10220" w:type="dxa"/>
                  <w:tcBorders>
                    <w:top w:val="nil"/>
                    <w:left w:val="nil"/>
                    <w:bottom w:val="nil"/>
                    <w:right w:val="nil"/>
                  </w:tcBorders>
                </w:tcPr>
                <w:p w:rsidR="00A8580A" w:rsidRPr="00A8580A" w:rsidRDefault="00A8580A" w:rsidP="00A8580A">
                  <w:pPr>
                    <w:spacing w:after="0" w:line="240" w:lineRule="auto"/>
                    <w:jc w:val="both"/>
                    <w:rPr>
                      <w:rFonts w:ascii="Times New Roman" w:hAnsi="Times New Roman" w:cs="Times New Roman"/>
                      <w:sz w:val="20"/>
                      <w:szCs w:val="20"/>
                    </w:rPr>
                  </w:pPr>
                  <w:r w:rsidRPr="00A8580A">
                    <w:rPr>
                      <w:rFonts w:ascii="Times New Roman" w:hAnsi="Times New Roman" w:cs="Times New Roman"/>
                      <w:sz w:val="20"/>
                      <w:szCs w:val="20"/>
                    </w:rPr>
                    <w:t>при поступлении в департамент инвестиций и развития малого и среднего предпринимательства Краснодарского края будет размещен на официальном сайте уполномоченного органа для проведения публичных консультаций для проведения публичных консультаций уполномоченным органом.</w:t>
                  </w:r>
                </w:p>
              </w:tc>
            </w:tr>
          </w:tbl>
          <w:p w:rsidR="001B7067" w:rsidRDefault="001B7067" w:rsidP="00A8580A">
            <w:pPr>
              <w:spacing w:after="0" w:line="240" w:lineRule="auto"/>
              <w:jc w:val="both"/>
              <w:rPr>
                <w:rFonts w:ascii="Times New Roman" w:hAnsi="Times New Roman" w:cs="Times New Roman"/>
                <w:sz w:val="20"/>
                <w:szCs w:val="20"/>
              </w:rPr>
            </w:pPr>
          </w:p>
          <w:p w:rsidR="00A8580A" w:rsidRDefault="00A8580A" w:rsidP="00A8580A">
            <w:pPr>
              <w:spacing w:after="0" w:line="240" w:lineRule="auto"/>
              <w:jc w:val="both"/>
              <w:rPr>
                <w:rFonts w:ascii="Times New Roman" w:hAnsi="Times New Roman" w:cs="Times New Roman"/>
                <w:sz w:val="20"/>
                <w:szCs w:val="20"/>
              </w:rPr>
            </w:pPr>
          </w:p>
          <w:p w:rsidR="00A8580A" w:rsidRDefault="00A8580A" w:rsidP="00924777">
            <w:pPr>
              <w:spacing w:after="0" w:line="240" w:lineRule="auto"/>
              <w:rPr>
                <w:rFonts w:ascii="Times New Roman" w:hAnsi="Times New Roman" w:cs="Times New Roman"/>
                <w:sz w:val="20"/>
                <w:szCs w:val="20"/>
              </w:rPr>
            </w:pPr>
          </w:p>
          <w:p w:rsidR="001713B8" w:rsidRPr="001B7067" w:rsidRDefault="001713B8" w:rsidP="00924777">
            <w:pPr>
              <w:spacing w:after="0" w:line="240" w:lineRule="auto"/>
              <w:rPr>
                <w:rFonts w:ascii="Times New Roman" w:hAnsi="Times New Roman" w:cs="Times New Roman"/>
                <w:sz w:val="20"/>
                <w:szCs w:val="20"/>
              </w:rPr>
            </w:pPr>
          </w:p>
        </w:tc>
      </w:tr>
      <w:tr w:rsidR="00924777" w:rsidRPr="00DE7836" w:rsidTr="009D5B2F">
        <w:tc>
          <w:tcPr>
            <w:tcW w:w="10220" w:type="dxa"/>
            <w:gridSpan w:val="10"/>
            <w:tcBorders>
              <w:top w:val="nil"/>
              <w:left w:val="nil"/>
              <w:bottom w:val="nil"/>
              <w:right w:val="nil"/>
            </w:tcBorders>
          </w:tcPr>
          <w:p w:rsidR="002D7A6A" w:rsidRPr="00DE7836" w:rsidRDefault="009A6E81" w:rsidP="002D7A6A">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002D7A6A" w:rsidRPr="00DE7836">
              <w:rPr>
                <w:rFonts w:ascii="Times New Roman" w:hAnsi="Times New Roman" w:cs="Times New Roman"/>
                <w:sz w:val="24"/>
                <w:szCs w:val="24"/>
              </w:rPr>
              <w:t xml:space="preserve">аместитель руководителя департамента                                                                                             </w:t>
            </w:r>
          </w:p>
          <w:p w:rsidR="00924777" w:rsidRPr="00DE7836" w:rsidRDefault="00924777" w:rsidP="009A6E81">
            <w:pPr>
              <w:spacing w:after="0" w:line="240" w:lineRule="auto"/>
              <w:rPr>
                <w:rFonts w:ascii="Times New Roman" w:hAnsi="Times New Roman" w:cs="Times New Roman"/>
                <w:sz w:val="24"/>
                <w:szCs w:val="24"/>
              </w:rPr>
            </w:pPr>
            <w:r w:rsidRPr="00DE7836">
              <w:rPr>
                <w:rFonts w:ascii="Times New Roman" w:hAnsi="Times New Roman" w:cs="Times New Roman"/>
                <w:sz w:val="24"/>
                <w:szCs w:val="24"/>
              </w:rPr>
              <w:t xml:space="preserve">имущественных отношений Краснодарского края                        </w:t>
            </w:r>
            <w:r w:rsidR="002D7A6A" w:rsidRPr="00DE7836">
              <w:rPr>
                <w:rFonts w:ascii="Times New Roman" w:hAnsi="Times New Roman" w:cs="Times New Roman"/>
                <w:sz w:val="24"/>
                <w:szCs w:val="24"/>
              </w:rPr>
              <w:t xml:space="preserve">                        </w:t>
            </w:r>
            <w:r w:rsidR="001D17DE" w:rsidRPr="00DE7836">
              <w:rPr>
                <w:rFonts w:ascii="Times New Roman" w:hAnsi="Times New Roman" w:cs="Times New Roman"/>
                <w:sz w:val="24"/>
                <w:szCs w:val="24"/>
              </w:rPr>
              <w:t xml:space="preserve">   </w:t>
            </w:r>
            <w:r w:rsidR="001E758A">
              <w:rPr>
                <w:rFonts w:ascii="Times New Roman" w:hAnsi="Times New Roman" w:cs="Times New Roman"/>
                <w:sz w:val="24"/>
                <w:szCs w:val="24"/>
              </w:rPr>
              <w:t xml:space="preserve">  </w:t>
            </w:r>
            <w:r w:rsidR="009A6E81">
              <w:rPr>
                <w:rFonts w:ascii="Times New Roman" w:hAnsi="Times New Roman" w:cs="Times New Roman"/>
                <w:sz w:val="24"/>
                <w:szCs w:val="24"/>
              </w:rPr>
              <w:t>Е.М. Сердюкова</w:t>
            </w:r>
            <w:bookmarkStart w:id="0" w:name="_GoBack"/>
            <w:bookmarkEnd w:id="0"/>
          </w:p>
        </w:tc>
      </w:tr>
    </w:tbl>
    <w:p w:rsidR="001713B8" w:rsidRPr="00DE7836" w:rsidRDefault="001E758A"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1D17DE">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lastRenderedPageBreak/>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1D17DE">
            <w:pPr>
              <w:spacing w:after="0" w:line="240" w:lineRule="auto"/>
              <w:jc w:val="center"/>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7F0D40" w:rsidRDefault="00924777" w:rsidP="007F0D40">
            <w:pPr>
              <w:spacing w:after="0" w:line="240" w:lineRule="auto"/>
              <w:jc w:val="both"/>
              <w:rPr>
                <w:rFonts w:ascii="Times New Roman" w:hAnsi="Times New Roman" w:cs="Times New Roman"/>
                <w:bCs/>
                <w:i/>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w:t>
            </w:r>
            <w:r w:rsidR="001E758A">
              <w:rPr>
                <w:rFonts w:ascii="Times New Roman" w:hAnsi="Times New Roman" w:cs="Times New Roman"/>
                <w:i/>
                <w:sz w:val="24"/>
                <w:szCs w:val="24"/>
              </w:rPr>
              <w:t>п</w:t>
            </w:r>
            <w:r w:rsidR="001E758A" w:rsidRPr="001713B8">
              <w:rPr>
                <w:rFonts w:ascii="Times New Roman" w:hAnsi="Times New Roman" w:cs="Times New Roman"/>
                <w:i/>
                <w:sz w:val="24"/>
                <w:szCs w:val="24"/>
              </w:rPr>
              <w:t>роект</w:t>
            </w:r>
            <w:r w:rsidR="001E758A">
              <w:rPr>
                <w:rFonts w:ascii="Times New Roman" w:hAnsi="Times New Roman" w:cs="Times New Roman"/>
                <w:i/>
                <w:sz w:val="24"/>
                <w:szCs w:val="24"/>
              </w:rPr>
              <w:t xml:space="preserve"> </w:t>
            </w:r>
            <w:r w:rsidR="001E758A" w:rsidRPr="00192FB9">
              <w:rPr>
                <w:rFonts w:ascii="Times New Roman" w:hAnsi="Times New Roman" w:cs="Times New Roman"/>
                <w:i/>
                <w:sz w:val="24"/>
                <w:szCs w:val="24"/>
              </w:rPr>
              <w:t xml:space="preserve">приказа департамента имущественных отношений Краснодарского края </w:t>
            </w:r>
            <w:r w:rsidR="001E758A">
              <w:rPr>
                <w:rFonts w:ascii="Times New Roman" w:hAnsi="Times New Roman" w:cs="Times New Roman"/>
                <w:i/>
                <w:sz w:val="24"/>
                <w:szCs w:val="24"/>
              </w:rPr>
              <w:t xml:space="preserve">                                      </w:t>
            </w:r>
            <w:r w:rsidR="001E758A" w:rsidRPr="001E758A">
              <w:rPr>
                <w:rFonts w:ascii="Times New Roman" w:hAnsi="Times New Roman" w:cs="Times New Roman"/>
                <w:i/>
                <w:sz w:val="24"/>
                <w:szCs w:val="24"/>
              </w:rPr>
              <w:t>«Об установлении начальной цены предмета аукциона на право заключения договоров аренды земельных участков из земель сельскохозяйственного назначения, находящихся в государственной соб</w:t>
            </w:r>
            <w:r w:rsidR="001E758A">
              <w:rPr>
                <w:rFonts w:ascii="Times New Roman" w:hAnsi="Times New Roman" w:cs="Times New Roman"/>
                <w:i/>
                <w:sz w:val="24"/>
                <w:szCs w:val="24"/>
              </w:rPr>
              <w:t>ственности Краснодарского края»</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1D17DE">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r w:rsidRPr="00924777">
              <w:rPr>
                <w:rFonts w:ascii="Times New Roman" w:hAnsi="Times New Roman" w:cs="Times New Roman"/>
                <w:sz w:val="24"/>
                <w:szCs w:val="24"/>
                <w:lang w:val="en-US"/>
              </w:rPr>
              <w:t>bov</w:t>
            </w:r>
            <w:r w:rsidRPr="00924777">
              <w:rPr>
                <w:rFonts w:ascii="Times New Roman" w:hAnsi="Times New Roman" w:cs="Times New Roman"/>
                <w:sz w:val="24"/>
                <w:szCs w:val="24"/>
              </w:rPr>
              <w:t>@</w:t>
            </w:r>
            <w:r w:rsidRPr="00924777">
              <w:rPr>
                <w:rFonts w:ascii="Times New Roman" w:hAnsi="Times New Roman" w:cs="Times New Roman"/>
                <w:sz w:val="24"/>
                <w:szCs w:val="24"/>
                <w:lang w:val="en-US"/>
              </w:rPr>
              <w:t>diok</w:t>
            </w:r>
            <w:r w:rsidRPr="00924777">
              <w:rPr>
                <w:rFonts w:ascii="Times New Roman" w:hAnsi="Times New Roman" w:cs="Times New Roman"/>
                <w:sz w:val="24"/>
                <w:szCs w:val="24"/>
              </w:rPr>
              <w:t>.</w:t>
            </w:r>
            <w:r w:rsidRPr="00924777">
              <w:rPr>
                <w:rFonts w:ascii="Times New Roman" w:hAnsi="Times New Roman" w:cs="Times New Roman"/>
                <w:sz w:val="24"/>
                <w:szCs w:val="24"/>
                <w:lang w:val="en-US"/>
              </w:rPr>
              <w:t>ru</w:t>
            </w:r>
            <w:r w:rsidR="007F0D40">
              <w:rPr>
                <w:rFonts w:ascii="Times New Roman" w:hAnsi="Times New Roman" w:cs="Times New Roman"/>
                <w:sz w:val="24"/>
                <w:szCs w:val="24"/>
              </w:rPr>
              <w:t xml:space="preserve"> не позднее (</w:t>
            </w:r>
            <w:r w:rsidR="001E758A" w:rsidRPr="001E758A">
              <w:rPr>
                <w:rFonts w:ascii="Times New Roman" w:hAnsi="Times New Roman" w:cs="Times New Roman"/>
                <w:sz w:val="24"/>
                <w:szCs w:val="24"/>
              </w:rPr>
              <w:t>16/08/2016</w:t>
            </w:r>
            <w:r w:rsidR="00C47141">
              <w:rPr>
                <w:rFonts w:ascii="Times New Roman" w:hAnsi="Times New Roman" w:cs="Times New Roman"/>
                <w:sz w:val="24"/>
                <w:szCs w:val="24"/>
              </w:rPr>
              <w:t>).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Default="00924777" w:rsidP="00924777">
            <w:pPr>
              <w:spacing w:after="0" w:line="240" w:lineRule="auto"/>
              <w:rPr>
                <w:rFonts w:ascii="Times New Roman" w:hAnsi="Times New Roman" w:cs="Times New Roman"/>
                <w:sz w:val="24"/>
                <w:szCs w:val="24"/>
              </w:rPr>
            </w:pPr>
          </w:p>
          <w:p w:rsidR="001D17DE" w:rsidRPr="00924777" w:rsidRDefault="001D17DE"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Default="00924777" w:rsidP="00924777">
            <w:pPr>
              <w:spacing w:after="0" w:line="240" w:lineRule="auto"/>
              <w:rPr>
                <w:rFonts w:ascii="Times New Roman" w:hAnsi="Times New Roman" w:cs="Times New Roman"/>
                <w:sz w:val="24"/>
                <w:szCs w:val="24"/>
              </w:rPr>
            </w:pPr>
          </w:p>
          <w:p w:rsidR="001D17DE" w:rsidRPr="00924777" w:rsidRDefault="001D17DE"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затратны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19" w:rsidRDefault="00425319" w:rsidP="001D17DE">
      <w:pPr>
        <w:spacing w:after="0" w:line="240" w:lineRule="auto"/>
      </w:pPr>
      <w:r>
        <w:separator/>
      </w:r>
    </w:p>
  </w:endnote>
  <w:endnote w:type="continuationSeparator" w:id="0">
    <w:p w:rsidR="00425319" w:rsidRDefault="00425319" w:rsidP="001D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19" w:rsidRDefault="00425319" w:rsidP="001D17DE">
      <w:pPr>
        <w:spacing w:after="0" w:line="240" w:lineRule="auto"/>
      </w:pPr>
      <w:r>
        <w:separator/>
      </w:r>
    </w:p>
  </w:footnote>
  <w:footnote w:type="continuationSeparator" w:id="0">
    <w:p w:rsidR="00425319" w:rsidRDefault="00425319" w:rsidP="001D1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3450F"/>
    <w:rsid w:val="000A1DDA"/>
    <w:rsid w:val="000A6438"/>
    <w:rsid w:val="00141252"/>
    <w:rsid w:val="001713B8"/>
    <w:rsid w:val="00192FB9"/>
    <w:rsid w:val="001B7067"/>
    <w:rsid w:val="001D17DE"/>
    <w:rsid w:val="001E758A"/>
    <w:rsid w:val="00254BFC"/>
    <w:rsid w:val="002D7A6A"/>
    <w:rsid w:val="00425319"/>
    <w:rsid w:val="00437CA4"/>
    <w:rsid w:val="004D183E"/>
    <w:rsid w:val="00514DFF"/>
    <w:rsid w:val="005E454A"/>
    <w:rsid w:val="00603EEF"/>
    <w:rsid w:val="00643F61"/>
    <w:rsid w:val="007012E8"/>
    <w:rsid w:val="00735A4D"/>
    <w:rsid w:val="00762A31"/>
    <w:rsid w:val="00766EA2"/>
    <w:rsid w:val="007E3794"/>
    <w:rsid w:val="007F0D40"/>
    <w:rsid w:val="0081746C"/>
    <w:rsid w:val="00822493"/>
    <w:rsid w:val="008C3F07"/>
    <w:rsid w:val="00924777"/>
    <w:rsid w:val="009A6E81"/>
    <w:rsid w:val="00A8580A"/>
    <w:rsid w:val="00B044DF"/>
    <w:rsid w:val="00B32660"/>
    <w:rsid w:val="00B76329"/>
    <w:rsid w:val="00BC3028"/>
    <w:rsid w:val="00BF4735"/>
    <w:rsid w:val="00C47141"/>
    <w:rsid w:val="00CA081C"/>
    <w:rsid w:val="00CE728A"/>
    <w:rsid w:val="00D03CD4"/>
    <w:rsid w:val="00D664DF"/>
    <w:rsid w:val="00DD7220"/>
    <w:rsid w:val="00DE7836"/>
    <w:rsid w:val="00F3282F"/>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header"/>
    <w:basedOn w:val="a"/>
    <w:link w:val="a5"/>
    <w:uiPriority w:val="99"/>
    <w:unhideWhenUsed/>
    <w:rsid w:val="001D17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17DE"/>
  </w:style>
  <w:style w:type="paragraph" w:styleId="a6">
    <w:name w:val="footer"/>
    <w:basedOn w:val="a"/>
    <w:link w:val="a7"/>
    <w:uiPriority w:val="99"/>
    <w:unhideWhenUsed/>
    <w:rsid w:val="001D17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17DE"/>
  </w:style>
  <w:style w:type="paragraph" w:styleId="a8">
    <w:name w:val="Balloon Text"/>
    <w:basedOn w:val="a"/>
    <w:link w:val="a9"/>
    <w:uiPriority w:val="99"/>
    <w:semiHidden/>
    <w:unhideWhenUsed/>
    <w:rsid w:val="001D17D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1647">
      <w:bodyDiv w:val="1"/>
      <w:marLeft w:val="0"/>
      <w:marRight w:val="0"/>
      <w:marTop w:val="0"/>
      <w:marBottom w:val="0"/>
      <w:divBdr>
        <w:top w:val="none" w:sz="0" w:space="0" w:color="auto"/>
        <w:left w:val="none" w:sz="0" w:space="0" w:color="auto"/>
        <w:bottom w:val="none" w:sz="0" w:space="0" w:color="auto"/>
        <w:right w:val="none" w:sz="0" w:space="0" w:color="auto"/>
      </w:divBdr>
    </w:div>
    <w:div w:id="15656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k.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Мамий Юлиана Байзетовна</cp:lastModifiedBy>
  <cp:revision>3</cp:revision>
  <cp:lastPrinted>2016-08-08T11:56:00Z</cp:lastPrinted>
  <dcterms:created xsi:type="dcterms:W3CDTF">2016-08-08T11:55:00Z</dcterms:created>
  <dcterms:modified xsi:type="dcterms:W3CDTF">2016-08-08T12:05:00Z</dcterms:modified>
</cp:coreProperties>
</file>